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E86FEF" w14:textId="77777777" w:rsidR="00E84EE9" w:rsidRPr="00C12B88" w:rsidRDefault="00B406A7" w:rsidP="00B406A7">
      <w:pPr>
        <w:pStyle w:val="Heading1"/>
        <w:contextualSpacing/>
        <w:jc w:val="center"/>
        <w:rPr>
          <w:b/>
          <w:bCs/>
          <w:color w:val="4472C4" w:themeColor="accent1"/>
        </w:rPr>
      </w:pPr>
      <w:r w:rsidRPr="00C12B88">
        <w:rPr>
          <w:b/>
          <w:bCs/>
          <w:color w:val="4472C4" w:themeColor="accent1"/>
        </w:rPr>
        <w:t xml:space="preserve">Payson City Victim Services </w:t>
      </w:r>
    </w:p>
    <w:p w14:paraId="4C1A83BF" w14:textId="501F4D61" w:rsidR="00F8223B" w:rsidRPr="00C12B88" w:rsidRDefault="00B406A7" w:rsidP="00B406A7">
      <w:pPr>
        <w:pStyle w:val="Heading1"/>
        <w:contextualSpacing/>
        <w:jc w:val="center"/>
        <w:rPr>
          <w:b/>
          <w:bCs/>
          <w:color w:val="4472C4" w:themeColor="accent1"/>
        </w:rPr>
      </w:pPr>
      <w:r w:rsidRPr="00C12B88">
        <w:rPr>
          <w:b/>
          <w:bCs/>
          <w:color w:val="4472C4" w:themeColor="accent1"/>
        </w:rPr>
        <w:t xml:space="preserve">Governing </w:t>
      </w:r>
      <w:r w:rsidR="00E84EE9" w:rsidRPr="00C12B88">
        <w:rPr>
          <w:b/>
          <w:bCs/>
          <w:color w:val="4472C4" w:themeColor="accent1"/>
        </w:rPr>
        <w:t xml:space="preserve">Board </w:t>
      </w:r>
      <w:r w:rsidRPr="00C12B88">
        <w:rPr>
          <w:b/>
          <w:bCs/>
          <w:color w:val="4472C4" w:themeColor="accent1"/>
        </w:rPr>
        <w:t>Report</w:t>
      </w:r>
    </w:p>
    <w:p w14:paraId="68E8CFE4" w14:textId="3897CC65" w:rsidR="00B406A7" w:rsidRDefault="00FC18DE" w:rsidP="0035318C">
      <w:pPr>
        <w:jc w:val="center"/>
      </w:pPr>
      <w:r>
        <w:t>May</w:t>
      </w:r>
      <w:r w:rsidR="00B406A7">
        <w:t xml:space="preserve"> 2</w:t>
      </w:r>
      <w:r w:rsidR="009078ED">
        <w:t>9</w:t>
      </w:r>
      <w:r w:rsidR="00B406A7">
        <w:t>, 2024</w:t>
      </w:r>
    </w:p>
    <w:p w14:paraId="1C4B1CAF" w14:textId="77777777" w:rsidR="0035318C" w:rsidRPr="0035318C" w:rsidRDefault="0035318C" w:rsidP="0035318C">
      <w:pPr>
        <w:jc w:val="center"/>
      </w:pPr>
    </w:p>
    <w:p w14:paraId="40D2720F" w14:textId="74EA3368" w:rsidR="00E95361" w:rsidRDefault="00E95361" w:rsidP="00B406A7">
      <w:pPr>
        <w:shd w:val="clear" w:color="auto" w:fill="FFFFFF"/>
        <w:spacing w:line="240" w:lineRule="auto"/>
        <w:rPr>
          <w:rFonts w:cstheme="minorHAnsi"/>
          <w:color w:val="333333"/>
          <w:shd w:val="clear" w:color="auto" w:fill="FFFFFF"/>
        </w:rPr>
      </w:pPr>
      <w:r>
        <w:rPr>
          <w:rFonts w:eastAsia="Times New Roman" w:cstheme="minorHAnsi"/>
          <w:kern w:val="0"/>
          <w14:ligatures w14:val="none"/>
        </w:rPr>
        <w:t xml:space="preserve">The </w:t>
      </w:r>
      <w:r w:rsidR="00D65C7C">
        <w:rPr>
          <w:rFonts w:eastAsia="Times New Roman" w:cstheme="minorHAnsi"/>
          <w:kern w:val="0"/>
          <w14:ligatures w14:val="none"/>
        </w:rPr>
        <w:t>Payson City V</w:t>
      </w:r>
      <w:r>
        <w:rPr>
          <w:rFonts w:eastAsia="Times New Roman" w:cstheme="minorHAnsi"/>
          <w:kern w:val="0"/>
          <w14:ligatures w14:val="none"/>
        </w:rPr>
        <w:t xml:space="preserve">ictim </w:t>
      </w:r>
      <w:r w:rsidR="00D65C7C">
        <w:rPr>
          <w:rFonts w:eastAsia="Times New Roman" w:cstheme="minorHAnsi"/>
          <w:kern w:val="0"/>
          <w14:ligatures w14:val="none"/>
        </w:rPr>
        <w:t>Services Program</w:t>
      </w:r>
      <w:r>
        <w:rPr>
          <w:rFonts w:eastAsia="Times New Roman" w:cstheme="minorHAnsi"/>
          <w:kern w:val="0"/>
          <w14:ligatures w14:val="none"/>
        </w:rPr>
        <w:t xml:space="preserve"> is partially funded by a federal grant from </w:t>
      </w:r>
      <w:r w:rsidR="00B64665">
        <w:rPr>
          <w:rFonts w:eastAsia="Times New Roman" w:cstheme="minorHAnsi"/>
          <w:kern w:val="0"/>
          <w14:ligatures w14:val="none"/>
        </w:rPr>
        <w:t xml:space="preserve">the </w:t>
      </w:r>
      <w:r>
        <w:rPr>
          <w:rFonts w:eastAsia="Times New Roman" w:cstheme="minorHAnsi"/>
          <w:kern w:val="0"/>
          <w14:ligatures w14:val="none"/>
        </w:rPr>
        <w:t>V</w:t>
      </w:r>
      <w:r w:rsidR="00B64665">
        <w:rPr>
          <w:rFonts w:eastAsia="Times New Roman" w:cstheme="minorHAnsi"/>
          <w:kern w:val="0"/>
          <w14:ligatures w14:val="none"/>
        </w:rPr>
        <w:t>ictims of Crime Act (VOCA)</w:t>
      </w:r>
      <w:r>
        <w:rPr>
          <w:rFonts w:eastAsia="Times New Roman" w:cstheme="minorHAnsi"/>
          <w:kern w:val="0"/>
          <w14:ligatures w14:val="none"/>
        </w:rPr>
        <w:t xml:space="preserve">. </w:t>
      </w:r>
      <w:r w:rsidR="00B406A7" w:rsidRPr="00E84EE9">
        <w:rPr>
          <w:rFonts w:cstheme="minorHAnsi"/>
          <w:color w:val="333333"/>
          <w:shd w:val="clear" w:color="auto" w:fill="FFFFFF"/>
        </w:rPr>
        <w:t>VOCA is a law passed in 1984 establishing the Crime Victims’ Fund by President Ronald Reagan. VOCA is one of the largest sources for federal funding for victim needs from court fees and fines. Over the last few years, VOCA funds have decreased significantly due to legislative and federal judicial outcome changes. That has resulted in cuts upwards of 81% for the critical Victim Assistance funding on which most victim services rely.</w:t>
      </w:r>
      <w:r w:rsidR="00E84EE9" w:rsidRPr="00E84EE9">
        <w:rPr>
          <w:rFonts w:cstheme="minorHAnsi"/>
          <w:color w:val="333333"/>
          <w:shd w:val="clear" w:color="auto" w:fill="FFFFFF"/>
        </w:rPr>
        <w:t xml:space="preserve"> The </w:t>
      </w:r>
      <w:r w:rsidR="00B406A7" w:rsidRPr="00E84EE9">
        <w:rPr>
          <w:rFonts w:eastAsia="Times New Roman" w:cstheme="minorHAnsi"/>
          <w:kern w:val="0"/>
          <w14:ligatures w14:val="none"/>
        </w:rPr>
        <w:t>Utah Office of Victims of Crime</w:t>
      </w:r>
      <w:r w:rsidR="006B2143">
        <w:rPr>
          <w:rFonts w:eastAsia="Times New Roman" w:cstheme="minorHAnsi"/>
          <w:kern w:val="0"/>
          <w14:ligatures w14:val="none"/>
        </w:rPr>
        <w:t xml:space="preserve"> (UOVC)</w:t>
      </w:r>
      <w:r w:rsidR="00B406A7" w:rsidRPr="00E84EE9">
        <w:rPr>
          <w:rFonts w:eastAsia="Times New Roman" w:cstheme="minorHAnsi"/>
          <w:kern w:val="0"/>
          <w14:ligatures w14:val="none"/>
        </w:rPr>
        <w:t xml:space="preserve"> </w:t>
      </w:r>
      <w:r w:rsidR="00E84EE9">
        <w:rPr>
          <w:rFonts w:eastAsia="Times New Roman" w:cstheme="minorHAnsi"/>
          <w:kern w:val="0"/>
          <w14:ligatures w14:val="none"/>
        </w:rPr>
        <w:t>i</w:t>
      </w:r>
      <w:r w:rsidR="00B406A7" w:rsidRPr="00E84EE9">
        <w:rPr>
          <w:rFonts w:eastAsia="Times New Roman" w:cstheme="minorHAnsi"/>
          <w:kern w:val="0"/>
          <w14:ligatures w14:val="none"/>
        </w:rPr>
        <w:t>s the pass-through agency for the state that distributes the funds to qualifying agencies.</w:t>
      </w:r>
      <w:r w:rsidR="00B77458">
        <w:rPr>
          <w:rFonts w:eastAsia="Times New Roman" w:cstheme="minorHAnsi"/>
          <w:kern w:val="0"/>
          <w14:ligatures w14:val="none"/>
        </w:rPr>
        <w:t xml:space="preserve"> </w:t>
      </w:r>
      <w:r w:rsidR="006B2143">
        <w:rPr>
          <w:rFonts w:cstheme="minorHAnsi"/>
          <w:color w:val="333333"/>
          <w:shd w:val="clear" w:color="auto" w:fill="FFFFFF"/>
        </w:rPr>
        <w:t xml:space="preserve">I have attached a letter from the UOVC regarding anticipated future VOCA funding cuts for the next grant cycle. </w:t>
      </w:r>
      <w:r>
        <w:rPr>
          <w:rFonts w:cstheme="minorHAnsi"/>
          <w:color w:val="333333"/>
          <w:shd w:val="clear" w:color="auto" w:fill="FFFFFF"/>
        </w:rPr>
        <w:t>VOCA requires two semi-annual reports to the agenc</w:t>
      </w:r>
      <w:r w:rsidR="00293099">
        <w:rPr>
          <w:rFonts w:cstheme="minorHAnsi"/>
          <w:color w:val="333333"/>
          <w:shd w:val="clear" w:color="auto" w:fill="FFFFFF"/>
        </w:rPr>
        <w:t>ie</w:t>
      </w:r>
      <w:r>
        <w:rPr>
          <w:rFonts w:cstheme="minorHAnsi"/>
          <w:color w:val="333333"/>
          <w:shd w:val="clear" w:color="auto" w:fill="FFFFFF"/>
        </w:rPr>
        <w:t xml:space="preserve">s governing body to create a culture of accountability and </w:t>
      </w:r>
      <w:r w:rsidR="00293099">
        <w:rPr>
          <w:rFonts w:cstheme="minorHAnsi"/>
          <w:color w:val="333333"/>
          <w:shd w:val="clear" w:color="auto" w:fill="FFFFFF"/>
        </w:rPr>
        <w:t>investment of financial support for victim services programs.</w:t>
      </w:r>
      <w:r w:rsidR="00E0510E">
        <w:rPr>
          <w:rFonts w:cstheme="minorHAnsi"/>
          <w:color w:val="333333"/>
          <w:shd w:val="clear" w:color="auto" w:fill="FFFFFF"/>
        </w:rPr>
        <w:t xml:space="preserve"> This is </w:t>
      </w:r>
      <w:r w:rsidR="00266E32">
        <w:rPr>
          <w:rFonts w:cstheme="minorHAnsi"/>
          <w:color w:val="333333"/>
          <w:shd w:val="clear" w:color="auto" w:fill="FFFFFF"/>
        </w:rPr>
        <w:t>the</w:t>
      </w:r>
      <w:r w:rsidR="00E0510E">
        <w:rPr>
          <w:rFonts w:cstheme="minorHAnsi"/>
          <w:color w:val="333333"/>
          <w:shd w:val="clear" w:color="auto" w:fill="FFFFFF"/>
        </w:rPr>
        <w:t xml:space="preserve"> </w:t>
      </w:r>
      <w:r w:rsidR="00266E32">
        <w:rPr>
          <w:rFonts w:cstheme="minorHAnsi"/>
          <w:color w:val="333333"/>
          <w:shd w:val="clear" w:color="auto" w:fill="FFFFFF"/>
        </w:rPr>
        <w:t>second</w:t>
      </w:r>
      <w:r w:rsidR="008F5C58">
        <w:rPr>
          <w:rFonts w:cstheme="minorHAnsi"/>
          <w:color w:val="333333"/>
          <w:shd w:val="clear" w:color="auto" w:fill="FFFFFF"/>
        </w:rPr>
        <w:t xml:space="preserve"> report for </w:t>
      </w:r>
      <w:r w:rsidR="000D5291">
        <w:rPr>
          <w:rFonts w:cstheme="minorHAnsi"/>
          <w:color w:val="333333"/>
          <w:shd w:val="clear" w:color="auto" w:fill="FFFFFF"/>
        </w:rPr>
        <w:t xml:space="preserve">year one </w:t>
      </w:r>
      <w:r w:rsidR="00013EB5">
        <w:rPr>
          <w:rFonts w:cstheme="minorHAnsi"/>
          <w:color w:val="333333"/>
          <w:shd w:val="clear" w:color="auto" w:fill="FFFFFF"/>
        </w:rPr>
        <w:t xml:space="preserve">of our </w:t>
      </w:r>
      <w:r w:rsidR="000D5291">
        <w:rPr>
          <w:rFonts w:cstheme="minorHAnsi"/>
          <w:color w:val="333333"/>
          <w:shd w:val="clear" w:color="auto" w:fill="FFFFFF"/>
        </w:rPr>
        <w:t xml:space="preserve">current </w:t>
      </w:r>
      <w:r w:rsidR="00481898">
        <w:rPr>
          <w:rFonts w:cstheme="minorHAnsi"/>
          <w:color w:val="333333"/>
          <w:shd w:val="clear" w:color="auto" w:fill="FFFFFF"/>
        </w:rPr>
        <w:t>two-year</w:t>
      </w:r>
      <w:r w:rsidR="000D5291">
        <w:rPr>
          <w:rFonts w:cstheme="minorHAnsi"/>
          <w:color w:val="333333"/>
          <w:shd w:val="clear" w:color="auto" w:fill="FFFFFF"/>
        </w:rPr>
        <w:t xml:space="preserve"> grant.</w:t>
      </w:r>
      <w:r w:rsidR="00013EB5">
        <w:rPr>
          <w:rFonts w:cstheme="minorHAnsi"/>
          <w:color w:val="333333"/>
          <w:shd w:val="clear" w:color="auto" w:fill="FFFFFF"/>
        </w:rPr>
        <w:t xml:space="preserve"> </w:t>
      </w:r>
    </w:p>
    <w:p w14:paraId="101B6CBA" w14:textId="3B2E0FCD" w:rsidR="00C447DA" w:rsidRDefault="00C447DA" w:rsidP="00B406A7">
      <w:pPr>
        <w:shd w:val="clear" w:color="auto" w:fill="FFFFFF"/>
        <w:spacing w:line="240" w:lineRule="auto"/>
        <w:rPr>
          <w:rFonts w:cstheme="minorHAnsi"/>
          <w:color w:val="333333"/>
          <w:shd w:val="clear" w:color="auto" w:fill="FFFFFF"/>
        </w:rPr>
      </w:pPr>
      <w:r>
        <w:rPr>
          <w:rFonts w:cstheme="minorHAnsi"/>
          <w:color w:val="333333"/>
          <w:shd w:val="clear" w:color="auto" w:fill="FFFFFF"/>
        </w:rPr>
        <w:t xml:space="preserve">Our Payson City Victim Services program provides comprehensive Victim Services from crisis response </w:t>
      </w:r>
      <w:r w:rsidR="006E76D8">
        <w:rPr>
          <w:rFonts w:cstheme="minorHAnsi"/>
          <w:color w:val="333333"/>
          <w:shd w:val="clear" w:color="auto" w:fill="FFFFFF"/>
        </w:rPr>
        <w:t xml:space="preserve">with our police department </w:t>
      </w:r>
      <w:r w:rsidR="00C701CC">
        <w:rPr>
          <w:rFonts w:cstheme="minorHAnsi"/>
          <w:color w:val="333333"/>
          <w:shd w:val="clear" w:color="auto" w:fill="FFFFFF"/>
        </w:rPr>
        <w:t xml:space="preserve">to </w:t>
      </w:r>
      <w:r w:rsidR="00AF5755">
        <w:rPr>
          <w:rFonts w:cstheme="minorHAnsi"/>
          <w:color w:val="333333"/>
          <w:shd w:val="clear" w:color="auto" w:fill="FFFFFF"/>
        </w:rPr>
        <w:t>victim assistance</w:t>
      </w:r>
      <w:r w:rsidR="00C701CC">
        <w:rPr>
          <w:rFonts w:cstheme="minorHAnsi"/>
          <w:color w:val="333333"/>
          <w:shd w:val="clear" w:color="auto" w:fill="FFFFFF"/>
        </w:rPr>
        <w:t xml:space="preserve"> through</w:t>
      </w:r>
      <w:r w:rsidR="00AF5755">
        <w:rPr>
          <w:rFonts w:cstheme="minorHAnsi"/>
          <w:color w:val="333333"/>
          <w:shd w:val="clear" w:color="auto" w:fill="FFFFFF"/>
        </w:rPr>
        <w:t xml:space="preserve"> prosecution and conviction</w:t>
      </w:r>
      <w:r w:rsidR="00C701CC">
        <w:rPr>
          <w:rFonts w:cstheme="minorHAnsi"/>
          <w:color w:val="333333"/>
          <w:shd w:val="clear" w:color="auto" w:fill="FFFFFF"/>
        </w:rPr>
        <w:t xml:space="preserve"> in our </w:t>
      </w:r>
      <w:r w:rsidR="001E5A4D">
        <w:rPr>
          <w:rFonts w:cstheme="minorHAnsi"/>
          <w:color w:val="333333"/>
          <w:shd w:val="clear" w:color="auto" w:fill="FFFFFF"/>
        </w:rPr>
        <w:t>justice court</w:t>
      </w:r>
      <w:r w:rsidR="00AF5755">
        <w:rPr>
          <w:rFonts w:cstheme="minorHAnsi"/>
          <w:color w:val="333333"/>
          <w:shd w:val="clear" w:color="auto" w:fill="FFFFFF"/>
        </w:rPr>
        <w:t xml:space="preserve">. I have attached a copy of our newly revised Victim Services brochure that includes an overview of Victims’ Rights as well as </w:t>
      </w:r>
      <w:r w:rsidR="006E76D8">
        <w:rPr>
          <w:rFonts w:cstheme="minorHAnsi"/>
          <w:color w:val="333333"/>
          <w:shd w:val="clear" w:color="auto" w:fill="FFFFFF"/>
        </w:rPr>
        <w:t>the criminal justice process</w:t>
      </w:r>
      <w:r w:rsidR="001E5A4D">
        <w:rPr>
          <w:rFonts w:cstheme="minorHAnsi"/>
          <w:color w:val="333333"/>
          <w:shd w:val="clear" w:color="auto" w:fill="FFFFFF"/>
        </w:rPr>
        <w:t xml:space="preserve">. </w:t>
      </w:r>
      <w:r w:rsidR="000C7BCC">
        <w:rPr>
          <w:rFonts w:cstheme="minorHAnsi"/>
          <w:color w:val="333333"/>
          <w:shd w:val="clear" w:color="auto" w:fill="FFFFFF"/>
        </w:rPr>
        <w:t>The greatest success</w:t>
      </w:r>
      <w:r w:rsidR="00577D7D">
        <w:rPr>
          <w:rFonts w:cstheme="minorHAnsi"/>
          <w:color w:val="333333"/>
          <w:shd w:val="clear" w:color="auto" w:fill="FFFFFF"/>
        </w:rPr>
        <w:t>es</w:t>
      </w:r>
      <w:r w:rsidR="000C7BCC">
        <w:rPr>
          <w:rFonts w:cstheme="minorHAnsi"/>
          <w:color w:val="333333"/>
          <w:shd w:val="clear" w:color="auto" w:fill="FFFFFF"/>
        </w:rPr>
        <w:t xml:space="preserve"> of our program come from </w:t>
      </w:r>
      <w:r w:rsidR="00577D7D">
        <w:rPr>
          <w:rFonts w:cstheme="minorHAnsi"/>
          <w:color w:val="333333"/>
          <w:shd w:val="clear" w:color="auto" w:fill="FFFFFF"/>
        </w:rPr>
        <w:t>the victims that are able to make po</w:t>
      </w:r>
      <w:r w:rsidR="00733210">
        <w:rPr>
          <w:rFonts w:cstheme="minorHAnsi"/>
          <w:color w:val="333333"/>
          <w:shd w:val="clear" w:color="auto" w:fill="FFFFFF"/>
        </w:rPr>
        <w:t xml:space="preserve">sitive changes and recover from both physical and emotional </w:t>
      </w:r>
      <w:r w:rsidR="00507B16">
        <w:rPr>
          <w:rFonts w:cstheme="minorHAnsi"/>
          <w:color w:val="333333"/>
          <w:shd w:val="clear" w:color="auto" w:fill="FFFFFF"/>
        </w:rPr>
        <w:t>injuries.</w:t>
      </w:r>
      <w:r w:rsidR="00042B2A">
        <w:rPr>
          <w:rFonts w:cstheme="minorHAnsi"/>
          <w:color w:val="333333"/>
          <w:shd w:val="clear" w:color="auto" w:fill="FFFFFF"/>
        </w:rPr>
        <w:t xml:space="preserve"> Many are still in that recovery </w:t>
      </w:r>
      <w:r w:rsidR="0024493A">
        <w:rPr>
          <w:rFonts w:cstheme="minorHAnsi"/>
          <w:color w:val="333333"/>
          <w:shd w:val="clear" w:color="auto" w:fill="FFFFFF"/>
        </w:rPr>
        <w:t>process,</w:t>
      </w:r>
      <w:r w:rsidR="00042B2A">
        <w:rPr>
          <w:rFonts w:cstheme="minorHAnsi"/>
          <w:color w:val="333333"/>
          <w:shd w:val="clear" w:color="auto" w:fill="FFFFFF"/>
        </w:rPr>
        <w:t xml:space="preserve"> and it is a humbling </w:t>
      </w:r>
      <w:r w:rsidR="00700740">
        <w:rPr>
          <w:rFonts w:cstheme="minorHAnsi"/>
          <w:color w:val="333333"/>
          <w:shd w:val="clear" w:color="auto" w:fill="FFFFFF"/>
        </w:rPr>
        <w:t xml:space="preserve">experience to witness their courage and conviction. </w:t>
      </w:r>
      <w:r w:rsidR="00507B16">
        <w:rPr>
          <w:rFonts w:cstheme="minorHAnsi"/>
          <w:color w:val="333333"/>
          <w:shd w:val="clear" w:color="auto" w:fill="FFFFFF"/>
        </w:rPr>
        <w:t xml:space="preserve"> </w:t>
      </w:r>
      <w:r w:rsidR="006E76D8">
        <w:rPr>
          <w:rFonts w:cstheme="minorHAnsi"/>
          <w:color w:val="333333"/>
          <w:shd w:val="clear" w:color="auto" w:fill="FFFFFF"/>
        </w:rPr>
        <w:t xml:space="preserve"> </w:t>
      </w:r>
    </w:p>
    <w:p w14:paraId="48992016" w14:textId="41D42DE4" w:rsidR="004E61D4" w:rsidRDefault="004E61D4" w:rsidP="00B406A7">
      <w:pPr>
        <w:shd w:val="clear" w:color="auto" w:fill="FFFFFF"/>
        <w:spacing w:line="240" w:lineRule="auto"/>
        <w:rPr>
          <w:rFonts w:cstheme="minorHAnsi"/>
          <w:color w:val="333333"/>
          <w:shd w:val="clear" w:color="auto" w:fill="FFFFFF"/>
        </w:rPr>
      </w:pPr>
      <w:r>
        <w:rPr>
          <w:rFonts w:cstheme="minorHAnsi"/>
          <w:color w:val="333333"/>
          <w:shd w:val="clear" w:color="auto" w:fill="FFFFFF"/>
        </w:rPr>
        <w:t xml:space="preserve">The attached reports are statistics </w:t>
      </w:r>
      <w:r w:rsidR="000F6C72">
        <w:rPr>
          <w:rFonts w:cstheme="minorHAnsi"/>
          <w:color w:val="333333"/>
          <w:shd w:val="clear" w:color="auto" w:fill="FFFFFF"/>
        </w:rPr>
        <w:t xml:space="preserve">and grant performance measures </w:t>
      </w:r>
      <w:r>
        <w:rPr>
          <w:rFonts w:cstheme="minorHAnsi"/>
          <w:color w:val="333333"/>
          <w:shd w:val="clear" w:color="auto" w:fill="FFFFFF"/>
        </w:rPr>
        <w:t xml:space="preserve">for </w:t>
      </w:r>
      <w:r w:rsidR="00D73E05">
        <w:rPr>
          <w:rFonts w:cstheme="minorHAnsi"/>
          <w:color w:val="333333"/>
          <w:shd w:val="clear" w:color="auto" w:fill="FFFFFF"/>
        </w:rPr>
        <w:t>January to March 2024 (</w:t>
      </w:r>
      <w:r w:rsidR="004C1E84">
        <w:rPr>
          <w:rFonts w:cstheme="minorHAnsi"/>
          <w:color w:val="333333"/>
          <w:shd w:val="clear" w:color="auto" w:fill="FFFFFF"/>
        </w:rPr>
        <w:t>3</w:t>
      </w:r>
      <w:r w:rsidR="004C1E84" w:rsidRPr="004C1E84">
        <w:rPr>
          <w:rFonts w:cstheme="minorHAnsi"/>
          <w:color w:val="333333"/>
          <w:shd w:val="clear" w:color="auto" w:fill="FFFFFF"/>
          <w:vertAlign w:val="superscript"/>
        </w:rPr>
        <w:t>rd</w:t>
      </w:r>
      <w:r w:rsidR="004C1E84">
        <w:rPr>
          <w:rFonts w:cstheme="minorHAnsi"/>
          <w:color w:val="333333"/>
          <w:shd w:val="clear" w:color="auto" w:fill="FFFFFF"/>
        </w:rPr>
        <w:t xml:space="preserve"> quarter of </w:t>
      </w:r>
      <w:r w:rsidR="00D73E05">
        <w:rPr>
          <w:rFonts w:cstheme="minorHAnsi"/>
          <w:color w:val="333333"/>
          <w:shd w:val="clear" w:color="auto" w:fill="FFFFFF"/>
        </w:rPr>
        <w:t xml:space="preserve">Year 1 of </w:t>
      </w:r>
      <w:r w:rsidR="000F6C72">
        <w:rPr>
          <w:rFonts w:cstheme="minorHAnsi"/>
          <w:color w:val="333333"/>
          <w:shd w:val="clear" w:color="auto" w:fill="FFFFFF"/>
        </w:rPr>
        <w:t>the grant</w:t>
      </w:r>
      <w:r w:rsidR="00D73E05">
        <w:rPr>
          <w:rFonts w:cstheme="minorHAnsi"/>
          <w:color w:val="333333"/>
          <w:shd w:val="clear" w:color="auto" w:fill="FFFFFF"/>
        </w:rPr>
        <w:t>)</w:t>
      </w:r>
      <w:r>
        <w:rPr>
          <w:rFonts w:cstheme="minorHAnsi"/>
          <w:color w:val="333333"/>
          <w:shd w:val="clear" w:color="auto" w:fill="FFFFFF"/>
        </w:rPr>
        <w:t xml:space="preserve">. </w:t>
      </w:r>
      <w:r w:rsidR="00FF16A7">
        <w:rPr>
          <w:rFonts w:cstheme="minorHAnsi"/>
          <w:color w:val="333333"/>
          <w:shd w:val="clear" w:color="auto" w:fill="FFFFFF"/>
        </w:rPr>
        <w:t>Performance mea</w:t>
      </w:r>
      <w:r w:rsidR="00E3272A">
        <w:rPr>
          <w:rFonts w:cstheme="minorHAnsi"/>
          <w:color w:val="333333"/>
          <w:shd w:val="clear" w:color="auto" w:fill="FFFFFF"/>
        </w:rPr>
        <w:t xml:space="preserve">sures are pro-rated based on </w:t>
      </w:r>
      <w:r w:rsidR="004B5AC3">
        <w:rPr>
          <w:rFonts w:cstheme="minorHAnsi"/>
          <w:color w:val="333333"/>
          <w:shd w:val="clear" w:color="auto" w:fill="FFFFFF"/>
        </w:rPr>
        <w:t xml:space="preserve">the </w:t>
      </w:r>
      <w:r w:rsidR="00E3272A">
        <w:rPr>
          <w:rFonts w:cstheme="minorHAnsi"/>
          <w:color w:val="333333"/>
          <w:shd w:val="clear" w:color="auto" w:fill="FFFFFF"/>
        </w:rPr>
        <w:t xml:space="preserve">VOCA </w:t>
      </w:r>
      <w:r w:rsidR="004B5AC3">
        <w:rPr>
          <w:rFonts w:cstheme="minorHAnsi"/>
          <w:color w:val="333333"/>
          <w:shd w:val="clear" w:color="auto" w:fill="FFFFFF"/>
        </w:rPr>
        <w:t xml:space="preserve">portion of funding and our </w:t>
      </w:r>
      <w:r w:rsidR="00DE2221">
        <w:rPr>
          <w:rFonts w:cstheme="minorHAnsi"/>
          <w:color w:val="333333"/>
          <w:shd w:val="clear" w:color="auto" w:fill="FFFFFF"/>
        </w:rPr>
        <w:t>city cash match</w:t>
      </w:r>
      <w:r w:rsidR="00E3272A">
        <w:rPr>
          <w:rFonts w:cstheme="minorHAnsi"/>
          <w:color w:val="333333"/>
          <w:shd w:val="clear" w:color="auto" w:fill="FFFFFF"/>
        </w:rPr>
        <w:t xml:space="preserve"> </w:t>
      </w:r>
      <w:r w:rsidR="00DE2221">
        <w:rPr>
          <w:rFonts w:cstheme="minorHAnsi"/>
          <w:color w:val="333333"/>
          <w:shd w:val="clear" w:color="auto" w:fill="FFFFFF"/>
        </w:rPr>
        <w:t>(88%)</w:t>
      </w:r>
      <w:r>
        <w:rPr>
          <w:rFonts w:cstheme="minorHAnsi"/>
          <w:color w:val="333333"/>
          <w:shd w:val="clear" w:color="auto" w:fill="FFFFFF"/>
        </w:rPr>
        <w:t xml:space="preserve">. </w:t>
      </w:r>
      <w:r w:rsidR="00E54787">
        <w:rPr>
          <w:rFonts w:cstheme="minorHAnsi"/>
          <w:color w:val="333333"/>
          <w:shd w:val="clear" w:color="auto" w:fill="FFFFFF"/>
        </w:rPr>
        <w:t>Our</w:t>
      </w:r>
      <w:r w:rsidR="00222561">
        <w:rPr>
          <w:rFonts w:cstheme="minorHAnsi"/>
          <w:color w:val="333333"/>
          <w:shd w:val="clear" w:color="auto" w:fill="FFFFFF"/>
        </w:rPr>
        <w:t xml:space="preserve"> program is</w:t>
      </w:r>
      <w:r w:rsidR="00962E8F">
        <w:rPr>
          <w:rFonts w:cstheme="minorHAnsi"/>
          <w:color w:val="333333"/>
          <w:shd w:val="clear" w:color="auto" w:fill="FFFFFF"/>
        </w:rPr>
        <w:t xml:space="preserve"> on target to </w:t>
      </w:r>
      <w:r w:rsidR="00222561">
        <w:rPr>
          <w:rFonts w:cstheme="minorHAnsi"/>
          <w:color w:val="333333"/>
          <w:shd w:val="clear" w:color="auto" w:fill="FFFFFF"/>
        </w:rPr>
        <w:t>meet or exceed</w:t>
      </w:r>
      <w:r w:rsidR="00962E8F">
        <w:rPr>
          <w:rFonts w:cstheme="minorHAnsi"/>
          <w:color w:val="333333"/>
          <w:shd w:val="clear" w:color="auto" w:fill="FFFFFF"/>
        </w:rPr>
        <w:t xml:space="preserve"> </w:t>
      </w:r>
      <w:r w:rsidR="006C4AEB">
        <w:rPr>
          <w:rFonts w:cstheme="minorHAnsi"/>
          <w:color w:val="333333"/>
          <w:shd w:val="clear" w:color="auto" w:fill="FFFFFF"/>
        </w:rPr>
        <w:t xml:space="preserve">program </w:t>
      </w:r>
      <w:r w:rsidR="00962E8F">
        <w:rPr>
          <w:rFonts w:cstheme="minorHAnsi"/>
          <w:color w:val="333333"/>
          <w:shd w:val="clear" w:color="auto" w:fill="FFFFFF"/>
        </w:rPr>
        <w:t xml:space="preserve">goals </w:t>
      </w:r>
      <w:r w:rsidR="006C4AEB">
        <w:rPr>
          <w:rFonts w:cstheme="minorHAnsi"/>
          <w:color w:val="333333"/>
          <w:shd w:val="clear" w:color="auto" w:fill="FFFFFF"/>
        </w:rPr>
        <w:t>even with the</w:t>
      </w:r>
      <w:r w:rsidR="00E14BA1">
        <w:rPr>
          <w:rFonts w:cstheme="minorHAnsi"/>
          <w:color w:val="333333"/>
          <w:shd w:val="clear" w:color="auto" w:fill="FFFFFF"/>
        </w:rPr>
        <w:t xml:space="preserve"> new</w:t>
      </w:r>
      <w:r w:rsidR="00222561">
        <w:rPr>
          <w:rFonts w:cstheme="minorHAnsi"/>
          <w:color w:val="333333"/>
          <w:shd w:val="clear" w:color="auto" w:fill="FFFFFF"/>
        </w:rPr>
        <w:t xml:space="preserve"> </w:t>
      </w:r>
      <w:r w:rsidR="006C4AEB">
        <w:rPr>
          <w:rFonts w:cstheme="minorHAnsi"/>
          <w:color w:val="333333"/>
          <w:shd w:val="clear" w:color="auto" w:fill="FFFFFF"/>
        </w:rPr>
        <w:t>pro-rat</w:t>
      </w:r>
      <w:r w:rsidR="00222561">
        <w:rPr>
          <w:rFonts w:cstheme="minorHAnsi"/>
          <w:color w:val="333333"/>
          <w:shd w:val="clear" w:color="auto" w:fill="FFFFFF"/>
        </w:rPr>
        <w:t>ion</w:t>
      </w:r>
      <w:r w:rsidR="006C4AEB">
        <w:rPr>
          <w:rFonts w:cstheme="minorHAnsi"/>
          <w:color w:val="333333"/>
          <w:shd w:val="clear" w:color="auto" w:fill="FFFFFF"/>
        </w:rPr>
        <w:t xml:space="preserve"> </w:t>
      </w:r>
      <w:r w:rsidR="003C2D68">
        <w:rPr>
          <w:rFonts w:cstheme="minorHAnsi"/>
          <w:color w:val="333333"/>
          <w:shd w:val="clear" w:color="auto" w:fill="FFFFFF"/>
        </w:rPr>
        <w:t>re</w:t>
      </w:r>
      <w:r w:rsidR="00222561">
        <w:rPr>
          <w:rFonts w:cstheme="minorHAnsi"/>
          <w:color w:val="333333"/>
          <w:shd w:val="clear" w:color="auto" w:fill="FFFFFF"/>
        </w:rPr>
        <w:t xml:space="preserve">quirements. </w:t>
      </w:r>
      <w:r w:rsidR="00973DAF">
        <w:rPr>
          <w:rFonts w:cstheme="minorHAnsi"/>
          <w:color w:val="333333"/>
          <w:shd w:val="clear" w:color="auto" w:fill="FFFFFF"/>
        </w:rPr>
        <w:t xml:space="preserve"> </w:t>
      </w:r>
    </w:p>
    <w:p w14:paraId="3F3C8209" w14:textId="77777777" w:rsidR="002A55C7" w:rsidRDefault="002A55C7" w:rsidP="00B406A7">
      <w:pPr>
        <w:shd w:val="clear" w:color="auto" w:fill="FFFFFF"/>
        <w:spacing w:line="240" w:lineRule="auto"/>
        <w:rPr>
          <w:rFonts w:cstheme="minorHAnsi"/>
          <w:color w:val="333333"/>
          <w:shd w:val="clear" w:color="auto" w:fill="FFFFFF"/>
        </w:rPr>
      </w:pPr>
    </w:p>
    <w:p w14:paraId="58DD98A6" w14:textId="78738A3B" w:rsidR="00B734EF" w:rsidRDefault="00B734EF">
      <w:pPr>
        <w:rPr>
          <w:rFonts w:cstheme="minorHAnsi"/>
          <w:color w:val="333333"/>
          <w:shd w:val="clear" w:color="auto" w:fill="FFFFFF"/>
        </w:rPr>
      </w:pPr>
      <w:r>
        <w:rPr>
          <w:rFonts w:cstheme="minorHAnsi"/>
          <w:color w:val="333333"/>
          <w:shd w:val="clear" w:color="auto" w:fill="FFFFFF"/>
        </w:rPr>
        <w:br w:type="page"/>
      </w:r>
    </w:p>
    <w:p w14:paraId="038B0481" w14:textId="77777777" w:rsidR="002A55C7" w:rsidRDefault="002A55C7" w:rsidP="00B406A7">
      <w:pPr>
        <w:shd w:val="clear" w:color="auto" w:fill="FFFFFF"/>
        <w:spacing w:line="240" w:lineRule="auto"/>
        <w:rPr>
          <w:rFonts w:cstheme="minorHAnsi"/>
          <w:color w:val="333333"/>
          <w:shd w:val="clear" w:color="auto" w:fill="FFFFFF"/>
        </w:rPr>
      </w:pPr>
    </w:p>
    <w:tbl>
      <w:tblPr>
        <w:tblStyle w:val="MediumShading2-Accent5"/>
        <w:tblpPr w:leftFromText="180" w:rightFromText="180" w:vertAnchor="text" w:tblpY="220"/>
        <w:tblW w:w="5529" w:type="pct"/>
        <w:tblLook w:val="0660" w:firstRow="1" w:lastRow="1" w:firstColumn="0" w:lastColumn="0" w:noHBand="1" w:noVBand="1"/>
      </w:tblPr>
      <w:tblGrid>
        <w:gridCol w:w="3371"/>
        <w:gridCol w:w="2325"/>
        <w:gridCol w:w="385"/>
        <w:gridCol w:w="1940"/>
        <w:gridCol w:w="2329"/>
      </w:tblGrid>
      <w:tr w:rsidR="00916C93" w14:paraId="52AB5427" w14:textId="77777777" w:rsidTr="00665480">
        <w:trPr>
          <w:cnfStyle w:val="100000000000" w:firstRow="1" w:lastRow="0" w:firstColumn="0" w:lastColumn="0" w:oddVBand="0" w:evenVBand="0" w:oddHBand="0" w:evenHBand="0" w:firstRowFirstColumn="0" w:firstRowLastColumn="0" w:lastRowFirstColumn="0" w:lastRowLastColumn="0"/>
        </w:trPr>
        <w:tc>
          <w:tcPr>
            <w:tcW w:w="1629" w:type="pct"/>
            <w:noWrap/>
          </w:tcPr>
          <w:p w14:paraId="39B1820B" w14:textId="77777777" w:rsidR="00050072" w:rsidRDefault="00050072" w:rsidP="00050072">
            <w:r>
              <w:t>Category</w:t>
            </w:r>
          </w:p>
        </w:tc>
        <w:tc>
          <w:tcPr>
            <w:tcW w:w="1123" w:type="pct"/>
          </w:tcPr>
          <w:p w14:paraId="69D6BC88" w14:textId="77777777" w:rsidR="00050072" w:rsidRDefault="00050072" w:rsidP="00050072">
            <w:r>
              <w:t>Victims</w:t>
            </w:r>
          </w:p>
        </w:tc>
        <w:tc>
          <w:tcPr>
            <w:tcW w:w="1123" w:type="pct"/>
            <w:gridSpan w:val="2"/>
          </w:tcPr>
          <w:p w14:paraId="6E0B93C1" w14:textId="77777777" w:rsidR="00050072" w:rsidRDefault="00050072" w:rsidP="00050072"/>
        </w:tc>
        <w:tc>
          <w:tcPr>
            <w:tcW w:w="1124" w:type="pct"/>
          </w:tcPr>
          <w:p w14:paraId="4D3057F6" w14:textId="77777777" w:rsidR="00050072" w:rsidRDefault="00050072" w:rsidP="00050072"/>
        </w:tc>
      </w:tr>
      <w:tr w:rsidR="00916C93" w14:paraId="65BEC7A3" w14:textId="77777777" w:rsidTr="00665480">
        <w:tc>
          <w:tcPr>
            <w:tcW w:w="1629" w:type="pct"/>
            <w:noWrap/>
          </w:tcPr>
          <w:p w14:paraId="11C84991" w14:textId="77777777" w:rsidR="00050072" w:rsidRDefault="00050072" w:rsidP="00050072"/>
        </w:tc>
        <w:tc>
          <w:tcPr>
            <w:tcW w:w="1123" w:type="pct"/>
          </w:tcPr>
          <w:p w14:paraId="4BBAFAA5" w14:textId="77777777" w:rsidR="00050072" w:rsidRDefault="00050072" w:rsidP="00050072">
            <w:pPr>
              <w:ind w:left="525"/>
              <w:rPr>
                <w:rStyle w:val="SubtleEmphasis"/>
              </w:rPr>
            </w:pPr>
          </w:p>
        </w:tc>
        <w:tc>
          <w:tcPr>
            <w:tcW w:w="1123" w:type="pct"/>
            <w:gridSpan w:val="2"/>
          </w:tcPr>
          <w:p w14:paraId="5F2E63E8" w14:textId="77777777" w:rsidR="00050072" w:rsidRDefault="00050072" w:rsidP="00050072"/>
        </w:tc>
        <w:tc>
          <w:tcPr>
            <w:tcW w:w="1124" w:type="pct"/>
          </w:tcPr>
          <w:p w14:paraId="11BB9E90" w14:textId="77777777" w:rsidR="00050072" w:rsidRDefault="00050072" w:rsidP="00050072"/>
        </w:tc>
      </w:tr>
      <w:tr w:rsidR="00916C93" w14:paraId="119F5BBD" w14:textId="77777777" w:rsidTr="00665480">
        <w:tc>
          <w:tcPr>
            <w:tcW w:w="1629" w:type="pct"/>
            <w:noWrap/>
          </w:tcPr>
          <w:p w14:paraId="62FDA36F" w14:textId="77777777" w:rsidR="00050072" w:rsidRPr="00FF72B9" w:rsidRDefault="00050072" w:rsidP="00050072">
            <w:pPr>
              <w:rPr>
                <w:u w:val="single"/>
              </w:rPr>
            </w:pPr>
            <w:bookmarkStart w:id="0" w:name="_Hlk166772202"/>
            <w:r w:rsidRPr="00FF72B9">
              <w:rPr>
                <w:u w:val="single"/>
              </w:rPr>
              <w:t xml:space="preserve">Total Individuals </w:t>
            </w:r>
          </w:p>
        </w:tc>
        <w:tc>
          <w:tcPr>
            <w:tcW w:w="1123" w:type="pct"/>
          </w:tcPr>
          <w:p w14:paraId="3773D6C1" w14:textId="77777777" w:rsidR="00050072" w:rsidRPr="00B734EF" w:rsidRDefault="00050072" w:rsidP="00050072">
            <w:pPr>
              <w:pStyle w:val="DecimalAligned"/>
            </w:pPr>
            <w:r w:rsidRPr="00B734EF">
              <w:t>80</w:t>
            </w:r>
          </w:p>
        </w:tc>
        <w:tc>
          <w:tcPr>
            <w:tcW w:w="1123" w:type="pct"/>
            <w:gridSpan w:val="2"/>
          </w:tcPr>
          <w:p w14:paraId="7202867F" w14:textId="77777777" w:rsidR="00050072" w:rsidRDefault="00050072" w:rsidP="00050072">
            <w:pPr>
              <w:pStyle w:val="DecimalAligned"/>
            </w:pPr>
          </w:p>
        </w:tc>
        <w:tc>
          <w:tcPr>
            <w:tcW w:w="1124" w:type="pct"/>
          </w:tcPr>
          <w:p w14:paraId="65EEB4EA" w14:textId="77777777" w:rsidR="00050072" w:rsidRDefault="00050072" w:rsidP="00050072">
            <w:pPr>
              <w:pStyle w:val="DecimalAligned"/>
            </w:pPr>
          </w:p>
        </w:tc>
      </w:tr>
      <w:tr w:rsidR="00916C93" w14:paraId="69202600" w14:textId="77777777" w:rsidTr="00665480">
        <w:tc>
          <w:tcPr>
            <w:tcW w:w="1629" w:type="pct"/>
            <w:noWrap/>
          </w:tcPr>
          <w:p w14:paraId="298F1643" w14:textId="77777777" w:rsidR="00050072" w:rsidRDefault="00050072" w:rsidP="00050072">
            <w:r>
              <w:t xml:space="preserve">Adult Physical Assaults </w:t>
            </w:r>
          </w:p>
          <w:p w14:paraId="7155CF72" w14:textId="77777777" w:rsidR="00050072" w:rsidRDefault="00050072" w:rsidP="00050072"/>
        </w:tc>
        <w:tc>
          <w:tcPr>
            <w:tcW w:w="1123" w:type="pct"/>
          </w:tcPr>
          <w:p w14:paraId="040430B8" w14:textId="77777777" w:rsidR="00050072" w:rsidRDefault="00050072" w:rsidP="00050072">
            <w:pPr>
              <w:pStyle w:val="DecimalAligned"/>
            </w:pPr>
            <w:r>
              <w:t>6</w:t>
            </w:r>
          </w:p>
        </w:tc>
        <w:tc>
          <w:tcPr>
            <w:tcW w:w="1123" w:type="pct"/>
            <w:gridSpan w:val="2"/>
          </w:tcPr>
          <w:p w14:paraId="2FCDB054" w14:textId="77777777" w:rsidR="00050072" w:rsidRDefault="00050072" w:rsidP="00050072">
            <w:pPr>
              <w:pStyle w:val="DecimalAligned"/>
            </w:pPr>
          </w:p>
        </w:tc>
        <w:tc>
          <w:tcPr>
            <w:tcW w:w="1124" w:type="pct"/>
          </w:tcPr>
          <w:p w14:paraId="00F243D0" w14:textId="77777777" w:rsidR="00050072" w:rsidRDefault="00050072" w:rsidP="00050072">
            <w:pPr>
              <w:pStyle w:val="DecimalAligned"/>
            </w:pPr>
          </w:p>
        </w:tc>
      </w:tr>
      <w:tr w:rsidR="00916C93" w14:paraId="2820EFAB" w14:textId="77777777" w:rsidTr="00665480">
        <w:tc>
          <w:tcPr>
            <w:tcW w:w="1629" w:type="pct"/>
            <w:noWrap/>
          </w:tcPr>
          <w:p w14:paraId="115ECAFC" w14:textId="77777777" w:rsidR="00050072" w:rsidRDefault="00050072" w:rsidP="00050072">
            <w:r>
              <w:t xml:space="preserve">Adult Sexual Assaults </w:t>
            </w:r>
          </w:p>
          <w:p w14:paraId="7C9DE396" w14:textId="77777777" w:rsidR="00050072" w:rsidRDefault="00050072" w:rsidP="00050072"/>
        </w:tc>
        <w:tc>
          <w:tcPr>
            <w:tcW w:w="1123" w:type="pct"/>
          </w:tcPr>
          <w:p w14:paraId="5030DA9E" w14:textId="77777777" w:rsidR="00050072" w:rsidRDefault="00050072" w:rsidP="00050072">
            <w:pPr>
              <w:pStyle w:val="DecimalAligned"/>
            </w:pPr>
            <w:r>
              <w:t>1</w:t>
            </w:r>
          </w:p>
        </w:tc>
        <w:tc>
          <w:tcPr>
            <w:tcW w:w="1123" w:type="pct"/>
            <w:gridSpan w:val="2"/>
          </w:tcPr>
          <w:p w14:paraId="7D3FB33D" w14:textId="77777777" w:rsidR="00050072" w:rsidRDefault="00050072" w:rsidP="00050072">
            <w:pPr>
              <w:pStyle w:val="DecimalAligned"/>
            </w:pPr>
          </w:p>
        </w:tc>
        <w:tc>
          <w:tcPr>
            <w:tcW w:w="1124" w:type="pct"/>
          </w:tcPr>
          <w:p w14:paraId="0FCC352E" w14:textId="77777777" w:rsidR="00050072" w:rsidRDefault="00050072" w:rsidP="00050072">
            <w:pPr>
              <w:pStyle w:val="DecimalAligned"/>
            </w:pPr>
          </w:p>
        </w:tc>
      </w:tr>
      <w:bookmarkEnd w:id="0"/>
      <w:tr w:rsidR="00916C93" w14:paraId="49BAAE60" w14:textId="77777777" w:rsidTr="00665480">
        <w:tc>
          <w:tcPr>
            <w:tcW w:w="1629" w:type="pct"/>
            <w:noWrap/>
          </w:tcPr>
          <w:p w14:paraId="12973151" w14:textId="77777777" w:rsidR="00050072" w:rsidRDefault="00050072" w:rsidP="00050072">
            <w:r>
              <w:t>Child Physical Abuse or Neglect</w:t>
            </w:r>
          </w:p>
        </w:tc>
        <w:tc>
          <w:tcPr>
            <w:tcW w:w="1123" w:type="pct"/>
          </w:tcPr>
          <w:p w14:paraId="4D4B9AC3" w14:textId="77777777" w:rsidR="00050072" w:rsidRDefault="00050072" w:rsidP="00050072">
            <w:pPr>
              <w:pStyle w:val="DecimalAligned"/>
            </w:pPr>
            <w:r>
              <w:t>5</w:t>
            </w:r>
          </w:p>
        </w:tc>
        <w:tc>
          <w:tcPr>
            <w:tcW w:w="1123" w:type="pct"/>
            <w:gridSpan w:val="2"/>
          </w:tcPr>
          <w:p w14:paraId="687CF65E" w14:textId="77777777" w:rsidR="00050072" w:rsidRDefault="00050072" w:rsidP="00050072">
            <w:pPr>
              <w:pStyle w:val="DecimalAligned"/>
            </w:pPr>
          </w:p>
        </w:tc>
        <w:tc>
          <w:tcPr>
            <w:tcW w:w="1124" w:type="pct"/>
          </w:tcPr>
          <w:p w14:paraId="1D045196" w14:textId="77777777" w:rsidR="00050072" w:rsidRDefault="00050072" w:rsidP="00050072">
            <w:pPr>
              <w:pStyle w:val="DecimalAligned"/>
            </w:pPr>
          </w:p>
        </w:tc>
      </w:tr>
      <w:tr w:rsidR="00916C93" w14:paraId="34F13D5E" w14:textId="77777777" w:rsidTr="00665480">
        <w:tc>
          <w:tcPr>
            <w:tcW w:w="1629" w:type="pct"/>
            <w:noWrap/>
          </w:tcPr>
          <w:p w14:paraId="19C06C46" w14:textId="77777777" w:rsidR="00050072" w:rsidRDefault="00050072" w:rsidP="00050072">
            <w:r>
              <w:t>Child Sexual Abuse/Assault</w:t>
            </w:r>
          </w:p>
        </w:tc>
        <w:tc>
          <w:tcPr>
            <w:tcW w:w="1123" w:type="pct"/>
          </w:tcPr>
          <w:p w14:paraId="06067347" w14:textId="77777777" w:rsidR="00050072" w:rsidRDefault="00050072" w:rsidP="00050072">
            <w:pPr>
              <w:pStyle w:val="DecimalAligned"/>
            </w:pPr>
            <w:r>
              <w:t>2</w:t>
            </w:r>
          </w:p>
        </w:tc>
        <w:tc>
          <w:tcPr>
            <w:tcW w:w="1123" w:type="pct"/>
            <w:gridSpan w:val="2"/>
          </w:tcPr>
          <w:p w14:paraId="408126F6" w14:textId="77777777" w:rsidR="00050072" w:rsidRDefault="00050072" w:rsidP="00050072">
            <w:pPr>
              <w:pStyle w:val="DecimalAligned"/>
            </w:pPr>
          </w:p>
        </w:tc>
        <w:tc>
          <w:tcPr>
            <w:tcW w:w="1124" w:type="pct"/>
          </w:tcPr>
          <w:p w14:paraId="35C07FBD" w14:textId="77777777" w:rsidR="00050072" w:rsidRDefault="00050072" w:rsidP="00050072">
            <w:pPr>
              <w:pStyle w:val="DecimalAligned"/>
            </w:pPr>
          </w:p>
        </w:tc>
      </w:tr>
      <w:tr w:rsidR="00916C93" w14:paraId="5BDE265E" w14:textId="77777777" w:rsidTr="00665480">
        <w:tc>
          <w:tcPr>
            <w:tcW w:w="1629" w:type="pct"/>
            <w:noWrap/>
          </w:tcPr>
          <w:p w14:paraId="25CC1278" w14:textId="77777777" w:rsidR="00050072" w:rsidRDefault="00050072" w:rsidP="00050072">
            <w:r>
              <w:t xml:space="preserve">Domestic Violence </w:t>
            </w:r>
          </w:p>
          <w:p w14:paraId="20ED5ED6" w14:textId="77777777" w:rsidR="00050072" w:rsidRDefault="00050072" w:rsidP="00050072"/>
        </w:tc>
        <w:tc>
          <w:tcPr>
            <w:tcW w:w="1123" w:type="pct"/>
          </w:tcPr>
          <w:p w14:paraId="4D5BF808" w14:textId="77777777" w:rsidR="00050072" w:rsidRDefault="00050072" w:rsidP="00050072">
            <w:pPr>
              <w:pStyle w:val="DecimalAligned"/>
            </w:pPr>
            <w:r>
              <w:t>56</w:t>
            </w:r>
          </w:p>
        </w:tc>
        <w:tc>
          <w:tcPr>
            <w:tcW w:w="1123" w:type="pct"/>
            <w:gridSpan w:val="2"/>
          </w:tcPr>
          <w:p w14:paraId="5C471EE6" w14:textId="77777777" w:rsidR="00050072" w:rsidRDefault="00050072" w:rsidP="00050072">
            <w:pPr>
              <w:pStyle w:val="DecimalAligned"/>
            </w:pPr>
          </w:p>
        </w:tc>
        <w:tc>
          <w:tcPr>
            <w:tcW w:w="1124" w:type="pct"/>
          </w:tcPr>
          <w:p w14:paraId="2F794F26" w14:textId="77777777" w:rsidR="00050072" w:rsidRDefault="00050072" w:rsidP="00050072">
            <w:pPr>
              <w:pStyle w:val="DecimalAligned"/>
            </w:pPr>
          </w:p>
        </w:tc>
      </w:tr>
      <w:tr w:rsidR="00050072" w14:paraId="6A789E47" w14:textId="77777777" w:rsidTr="00665480">
        <w:tc>
          <w:tcPr>
            <w:tcW w:w="1629" w:type="pct"/>
            <w:noWrap/>
          </w:tcPr>
          <w:p w14:paraId="7472BB83" w14:textId="77777777" w:rsidR="00050072" w:rsidRDefault="00050072" w:rsidP="00050072">
            <w:r>
              <w:t>Kidnapping (custodial)</w:t>
            </w:r>
          </w:p>
          <w:p w14:paraId="709088D9" w14:textId="77777777" w:rsidR="00050072" w:rsidRDefault="00050072" w:rsidP="00050072"/>
        </w:tc>
        <w:tc>
          <w:tcPr>
            <w:tcW w:w="1123" w:type="pct"/>
          </w:tcPr>
          <w:p w14:paraId="73DEDB33" w14:textId="77777777" w:rsidR="00050072" w:rsidRDefault="00050072" w:rsidP="00050072">
            <w:pPr>
              <w:pStyle w:val="DecimalAligned"/>
            </w:pPr>
            <w:r>
              <w:t>6</w:t>
            </w:r>
          </w:p>
        </w:tc>
        <w:tc>
          <w:tcPr>
            <w:tcW w:w="1123" w:type="pct"/>
            <w:gridSpan w:val="2"/>
          </w:tcPr>
          <w:p w14:paraId="478C22CC" w14:textId="77777777" w:rsidR="00050072" w:rsidRDefault="00050072" w:rsidP="00050072">
            <w:pPr>
              <w:pStyle w:val="DecimalAligned"/>
            </w:pPr>
          </w:p>
        </w:tc>
        <w:tc>
          <w:tcPr>
            <w:tcW w:w="1124" w:type="pct"/>
          </w:tcPr>
          <w:p w14:paraId="661FBBE8" w14:textId="77777777" w:rsidR="00050072" w:rsidRDefault="00050072" w:rsidP="00050072">
            <w:pPr>
              <w:pStyle w:val="DecimalAligned"/>
            </w:pPr>
          </w:p>
        </w:tc>
      </w:tr>
      <w:tr w:rsidR="00916C93" w14:paraId="7832518A" w14:textId="77777777" w:rsidTr="00665480">
        <w:tc>
          <w:tcPr>
            <w:tcW w:w="1629" w:type="pct"/>
            <w:noWrap/>
          </w:tcPr>
          <w:p w14:paraId="356BC4E6" w14:textId="5131C142" w:rsidR="00050072" w:rsidRDefault="00050072" w:rsidP="00050072">
            <w:r>
              <w:t>Stalking/Harassment</w:t>
            </w:r>
          </w:p>
          <w:p w14:paraId="78C8F62C" w14:textId="77777777" w:rsidR="00050072" w:rsidRDefault="00050072" w:rsidP="00050072"/>
        </w:tc>
        <w:tc>
          <w:tcPr>
            <w:tcW w:w="1123" w:type="pct"/>
          </w:tcPr>
          <w:p w14:paraId="16C7A596" w14:textId="610EB1E4" w:rsidR="00050072" w:rsidRDefault="00050072" w:rsidP="00050072">
            <w:pPr>
              <w:pStyle w:val="DecimalAligned"/>
            </w:pPr>
            <w:r>
              <w:t>5</w:t>
            </w:r>
          </w:p>
        </w:tc>
        <w:tc>
          <w:tcPr>
            <w:tcW w:w="1123" w:type="pct"/>
            <w:gridSpan w:val="2"/>
          </w:tcPr>
          <w:p w14:paraId="04281827" w14:textId="77777777" w:rsidR="00050072" w:rsidRDefault="00050072" w:rsidP="00050072">
            <w:pPr>
              <w:pStyle w:val="DecimalAligned"/>
            </w:pPr>
          </w:p>
        </w:tc>
        <w:tc>
          <w:tcPr>
            <w:tcW w:w="1124" w:type="pct"/>
          </w:tcPr>
          <w:p w14:paraId="11334D8A" w14:textId="77777777" w:rsidR="00050072" w:rsidRDefault="00050072" w:rsidP="00050072">
            <w:pPr>
              <w:pStyle w:val="DecimalAligned"/>
            </w:pPr>
          </w:p>
        </w:tc>
      </w:tr>
      <w:tr w:rsidR="00916C93" w14:paraId="1B831807" w14:textId="77777777" w:rsidTr="00665480">
        <w:tc>
          <w:tcPr>
            <w:tcW w:w="1629" w:type="pct"/>
            <w:noWrap/>
          </w:tcPr>
          <w:p w14:paraId="3E726790" w14:textId="60665C8B" w:rsidR="00050072" w:rsidRDefault="00050072" w:rsidP="00050072">
            <w:r>
              <w:t>Survivors of Homicide</w:t>
            </w:r>
          </w:p>
          <w:p w14:paraId="3D6F13FE" w14:textId="58809D23" w:rsidR="00050072" w:rsidRDefault="00050072" w:rsidP="00050072"/>
        </w:tc>
        <w:tc>
          <w:tcPr>
            <w:tcW w:w="1123" w:type="pct"/>
          </w:tcPr>
          <w:p w14:paraId="695ED0A9" w14:textId="11B8626B" w:rsidR="00050072" w:rsidRDefault="00050072" w:rsidP="00050072">
            <w:pPr>
              <w:pStyle w:val="DecimalAligned"/>
            </w:pPr>
            <w:r>
              <w:t>3</w:t>
            </w:r>
          </w:p>
        </w:tc>
        <w:tc>
          <w:tcPr>
            <w:tcW w:w="1123" w:type="pct"/>
            <w:gridSpan w:val="2"/>
          </w:tcPr>
          <w:p w14:paraId="7577D7FB" w14:textId="77777777" w:rsidR="00050072" w:rsidRDefault="00050072" w:rsidP="00050072">
            <w:pPr>
              <w:pStyle w:val="DecimalAligned"/>
            </w:pPr>
          </w:p>
        </w:tc>
        <w:tc>
          <w:tcPr>
            <w:tcW w:w="1124" w:type="pct"/>
          </w:tcPr>
          <w:p w14:paraId="11A5AA4D" w14:textId="77777777" w:rsidR="00050072" w:rsidRDefault="00050072" w:rsidP="00050072">
            <w:pPr>
              <w:pStyle w:val="DecimalAligned"/>
            </w:pPr>
          </w:p>
        </w:tc>
      </w:tr>
      <w:tr w:rsidR="00AE2407" w14:paraId="3362D7E5" w14:textId="77777777" w:rsidTr="00665480">
        <w:tc>
          <w:tcPr>
            <w:tcW w:w="1629" w:type="pct"/>
            <w:noWrap/>
          </w:tcPr>
          <w:p w14:paraId="2F6E1448" w14:textId="6BEEE619" w:rsidR="00050072" w:rsidRDefault="009A409A" w:rsidP="00050072">
            <w:r>
              <w:t>Violation of Protective Orders</w:t>
            </w:r>
          </w:p>
        </w:tc>
        <w:tc>
          <w:tcPr>
            <w:tcW w:w="1123" w:type="pct"/>
          </w:tcPr>
          <w:p w14:paraId="2D0CDACF" w14:textId="2418C494" w:rsidR="00050072" w:rsidRDefault="009A409A" w:rsidP="00050072">
            <w:pPr>
              <w:pStyle w:val="DecimalAligned"/>
            </w:pPr>
            <w:r>
              <w:t>7</w:t>
            </w:r>
          </w:p>
        </w:tc>
        <w:tc>
          <w:tcPr>
            <w:tcW w:w="1123" w:type="pct"/>
            <w:gridSpan w:val="2"/>
          </w:tcPr>
          <w:p w14:paraId="61330A11" w14:textId="77777777" w:rsidR="00050072" w:rsidRDefault="00050072" w:rsidP="00050072">
            <w:pPr>
              <w:pStyle w:val="DecimalAligned"/>
            </w:pPr>
          </w:p>
        </w:tc>
        <w:tc>
          <w:tcPr>
            <w:tcW w:w="1124" w:type="pct"/>
          </w:tcPr>
          <w:p w14:paraId="7E162A54" w14:textId="77777777" w:rsidR="00050072" w:rsidRDefault="00050072" w:rsidP="00050072">
            <w:pPr>
              <w:pStyle w:val="DecimalAligned"/>
            </w:pPr>
          </w:p>
        </w:tc>
      </w:tr>
      <w:tr w:rsidR="003169EB" w14:paraId="012EFF02" w14:textId="77777777" w:rsidTr="00AE2407">
        <w:trPr>
          <w:cnfStyle w:val="010000000000" w:firstRow="0" w:lastRow="1" w:firstColumn="0" w:lastColumn="0" w:oddVBand="0" w:evenVBand="0" w:oddHBand="0" w:evenHBand="0" w:firstRowFirstColumn="0" w:firstRowLastColumn="0" w:lastRowFirstColumn="0" w:lastRowLastColumn="0"/>
        </w:trPr>
        <w:tc>
          <w:tcPr>
            <w:tcW w:w="2938" w:type="pct"/>
            <w:gridSpan w:val="3"/>
            <w:noWrap/>
          </w:tcPr>
          <w:p w14:paraId="7442CAAB" w14:textId="77777777" w:rsidR="003169EB" w:rsidRDefault="003169EB" w:rsidP="00CF1230"/>
        </w:tc>
        <w:tc>
          <w:tcPr>
            <w:tcW w:w="2062" w:type="pct"/>
            <w:gridSpan w:val="2"/>
          </w:tcPr>
          <w:p w14:paraId="41660086" w14:textId="6C725214" w:rsidR="003169EB" w:rsidRDefault="003169EB" w:rsidP="00CF1230">
            <w:pPr>
              <w:pStyle w:val="DecimalAligned"/>
            </w:pPr>
          </w:p>
        </w:tc>
      </w:tr>
    </w:tbl>
    <w:p w14:paraId="025A341F" w14:textId="4F92C258" w:rsidR="00293099" w:rsidRDefault="00293099" w:rsidP="00B406A7">
      <w:pPr>
        <w:shd w:val="clear" w:color="auto" w:fill="FFFFFF"/>
        <w:spacing w:line="240" w:lineRule="auto"/>
        <w:rPr>
          <w:rFonts w:cstheme="minorHAnsi"/>
          <w:color w:val="333333"/>
          <w:shd w:val="clear" w:color="auto" w:fill="FFFFFF"/>
        </w:rPr>
      </w:pPr>
    </w:p>
    <w:tbl>
      <w:tblPr>
        <w:tblStyle w:val="MediumShading2-Accent5"/>
        <w:tblpPr w:leftFromText="180" w:rightFromText="180" w:vertAnchor="text" w:tblpY="220"/>
        <w:tblW w:w="5529" w:type="pct"/>
        <w:tblLook w:val="0660" w:firstRow="1" w:lastRow="1" w:firstColumn="0" w:lastColumn="0" w:noHBand="1" w:noVBand="1"/>
      </w:tblPr>
      <w:tblGrid>
        <w:gridCol w:w="3586"/>
        <w:gridCol w:w="2252"/>
        <w:gridCol w:w="2254"/>
        <w:gridCol w:w="2258"/>
      </w:tblGrid>
      <w:tr w:rsidR="00C67B78" w14:paraId="0C9C88E5" w14:textId="77777777" w:rsidTr="00D5015D">
        <w:trPr>
          <w:cnfStyle w:val="100000000000" w:firstRow="1" w:lastRow="0" w:firstColumn="0" w:lastColumn="0" w:oddVBand="0" w:evenVBand="0" w:oddHBand="0" w:evenHBand="0" w:firstRowFirstColumn="0" w:firstRowLastColumn="0" w:lastRowFirstColumn="0" w:lastRowLastColumn="0"/>
        </w:trPr>
        <w:tc>
          <w:tcPr>
            <w:tcW w:w="1732" w:type="pct"/>
            <w:noWrap/>
          </w:tcPr>
          <w:p w14:paraId="264D66A2" w14:textId="1419337C" w:rsidR="00C67B78" w:rsidRDefault="00481898" w:rsidP="00CF1230">
            <w:r>
              <w:t xml:space="preserve">Examples of </w:t>
            </w:r>
            <w:r w:rsidR="00C67B78">
              <w:t>Direct Services</w:t>
            </w:r>
          </w:p>
        </w:tc>
        <w:tc>
          <w:tcPr>
            <w:tcW w:w="1088" w:type="pct"/>
          </w:tcPr>
          <w:p w14:paraId="026724A7" w14:textId="77777777" w:rsidR="00C67B78" w:rsidRDefault="00C67B78" w:rsidP="00CF1230">
            <w:r>
              <w:t>Victims</w:t>
            </w:r>
          </w:p>
        </w:tc>
        <w:tc>
          <w:tcPr>
            <w:tcW w:w="1089" w:type="pct"/>
          </w:tcPr>
          <w:p w14:paraId="49F5DF4D" w14:textId="77777777" w:rsidR="00C67B78" w:rsidRDefault="00C67B78" w:rsidP="00CF1230"/>
        </w:tc>
        <w:tc>
          <w:tcPr>
            <w:tcW w:w="1091" w:type="pct"/>
          </w:tcPr>
          <w:p w14:paraId="7884757F" w14:textId="77777777" w:rsidR="00C67B78" w:rsidRDefault="00C67B78" w:rsidP="00CF1230"/>
        </w:tc>
      </w:tr>
      <w:tr w:rsidR="00C67B78" w14:paraId="4380447B" w14:textId="77777777" w:rsidTr="00D5015D">
        <w:tc>
          <w:tcPr>
            <w:tcW w:w="1732" w:type="pct"/>
            <w:noWrap/>
          </w:tcPr>
          <w:p w14:paraId="6C3C6120" w14:textId="77777777" w:rsidR="00C67B78" w:rsidRDefault="00C67B78" w:rsidP="00CF1230"/>
        </w:tc>
        <w:tc>
          <w:tcPr>
            <w:tcW w:w="1088" w:type="pct"/>
          </w:tcPr>
          <w:p w14:paraId="636701B5" w14:textId="77777777" w:rsidR="00C67B78" w:rsidRDefault="00C67B78" w:rsidP="00CF1230">
            <w:pPr>
              <w:ind w:left="525"/>
              <w:rPr>
                <w:rStyle w:val="SubtleEmphasis"/>
              </w:rPr>
            </w:pPr>
          </w:p>
        </w:tc>
        <w:tc>
          <w:tcPr>
            <w:tcW w:w="1089" w:type="pct"/>
          </w:tcPr>
          <w:p w14:paraId="01B96AFA" w14:textId="77777777" w:rsidR="00C67B78" w:rsidRDefault="00C67B78" w:rsidP="00CF1230"/>
        </w:tc>
        <w:tc>
          <w:tcPr>
            <w:tcW w:w="1091" w:type="pct"/>
          </w:tcPr>
          <w:p w14:paraId="4149B3B7" w14:textId="77777777" w:rsidR="00C67B78" w:rsidRDefault="00C67B78" w:rsidP="00CF1230"/>
        </w:tc>
      </w:tr>
      <w:tr w:rsidR="00C67B78" w14:paraId="0767313E" w14:textId="77777777" w:rsidTr="00D5015D">
        <w:tc>
          <w:tcPr>
            <w:tcW w:w="1732" w:type="pct"/>
            <w:noWrap/>
          </w:tcPr>
          <w:p w14:paraId="2ACFFABA" w14:textId="59E93C6B" w:rsidR="00C67B78" w:rsidRPr="00B6506D" w:rsidRDefault="00FA2404" w:rsidP="00CF1230">
            <w:r w:rsidRPr="00B6506D">
              <w:t>Criminal Advocacy/Accompaniment</w:t>
            </w:r>
            <w:r w:rsidR="00C67B78" w:rsidRPr="00B6506D">
              <w:t xml:space="preserve"> </w:t>
            </w:r>
          </w:p>
        </w:tc>
        <w:tc>
          <w:tcPr>
            <w:tcW w:w="1088" w:type="pct"/>
          </w:tcPr>
          <w:p w14:paraId="07D27576" w14:textId="2617B1E0" w:rsidR="00C67B78" w:rsidRPr="00B734EF" w:rsidRDefault="00D05B74" w:rsidP="00CF1230">
            <w:pPr>
              <w:pStyle w:val="DecimalAligned"/>
            </w:pPr>
            <w:r>
              <w:t>93</w:t>
            </w:r>
          </w:p>
        </w:tc>
        <w:tc>
          <w:tcPr>
            <w:tcW w:w="1089" w:type="pct"/>
          </w:tcPr>
          <w:p w14:paraId="2FF0D2B6" w14:textId="77777777" w:rsidR="00C67B78" w:rsidRDefault="00C67B78" w:rsidP="00CF1230">
            <w:pPr>
              <w:pStyle w:val="DecimalAligned"/>
            </w:pPr>
          </w:p>
        </w:tc>
        <w:tc>
          <w:tcPr>
            <w:tcW w:w="1091" w:type="pct"/>
          </w:tcPr>
          <w:p w14:paraId="44D0555A" w14:textId="77777777" w:rsidR="00C67B78" w:rsidRDefault="00C67B78" w:rsidP="00CF1230">
            <w:pPr>
              <w:pStyle w:val="DecimalAligned"/>
            </w:pPr>
          </w:p>
        </w:tc>
      </w:tr>
      <w:tr w:rsidR="00C67B78" w14:paraId="6564B7A6" w14:textId="77777777" w:rsidTr="00D5015D">
        <w:tc>
          <w:tcPr>
            <w:tcW w:w="1732" w:type="pct"/>
            <w:noWrap/>
          </w:tcPr>
          <w:p w14:paraId="1CD8DF4F" w14:textId="32A76687" w:rsidR="00C67B78" w:rsidRDefault="00B6506D" w:rsidP="00CF1230">
            <w:r>
              <w:t>Notification of Criminal Justice Events</w:t>
            </w:r>
          </w:p>
          <w:p w14:paraId="46FB8DA0" w14:textId="77777777" w:rsidR="00C67B78" w:rsidRDefault="00C67B78" w:rsidP="00CF1230"/>
        </w:tc>
        <w:tc>
          <w:tcPr>
            <w:tcW w:w="1088" w:type="pct"/>
          </w:tcPr>
          <w:p w14:paraId="3B75083F" w14:textId="701CAB38" w:rsidR="00C67B78" w:rsidRDefault="00D5015D" w:rsidP="00CF1230">
            <w:pPr>
              <w:pStyle w:val="DecimalAligned"/>
            </w:pPr>
            <w:r>
              <w:t>168</w:t>
            </w:r>
          </w:p>
        </w:tc>
        <w:tc>
          <w:tcPr>
            <w:tcW w:w="1089" w:type="pct"/>
          </w:tcPr>
          <w:p w14:paraId="13CA198E" w14:textId="77777777" w:rsidR="00C67B78" w:rsidRDefault="00C67B78" w:rsidP="00CF1230">
            <w:pPr>
              <w:pStyle w:val="DecimalAligned"/>
            </w:pPr>
          </w:p>
        </w:tc>
        <w:tc>
          <w:tcPr>
            <w:tcW w:w="1091" w:type="pct"/>
          </w:tcPr>
          <w:p w14:paraId="4B4306B2" w14:textId="77777777" w:rsidR="00C67B78" w:rsidRDefault="00C67B78" w:rsidP="00CF1230">
            <w:pPr>
              <w:pStyle w:val="DecimalAligned"/>
            </w:pPr>
          </w:p>
        </w:tc>
      </w:tr>
      <w:tr w:rsidR="00C67B78" w14:paraId="29BDFF55" w14:textId="77777777" w:rsidTr="00D5015D">
        <w:tc>
          <w:tcPr>
            <w:tcW w:w="1732" w:type="pct"/>
            <w:noWrap/>
          </w:tcPr>
          <w:p w14:paraId="63E6451A" w14:textId="2C6EBA62" w:rsidR="00C67B78" w:rsidRDefault="00C67B78" w:rsidP="00CF1230">
            <w:r>
              <w:t>Interpreter Services</w:t>
            </w:r>
          </w:p>
          <w:p w14:paraId="13F5E292" w14:textId="77777777" w:rsidR="00C67B78" w:rsidRDefault="00C67B78" w:rsidP="00CF1230"/>
        </w:tc>
        <w:tc>
          <w:tcPr>
            <w:tcW w:w="1088" w:type="pct"/>
          </w:tcPr>
          <w:p w14:paraId="5B01B2A2" w14:textId="0EC22C1A" w:rsidR="00C67B78" w:rsidRDefault="00C67B78" w:rsidP="00CF1230">
            <w:pPr>
              <w:pStyle w:val="DecimalAligned"/>
            </w:pPr>
            <w:r>
              <w:t>29</w:t>
            </w:r>
          </w:p>
        </w:tc>
        <w:tc>
          <w:tcPr>
            <w:tcW w:w="1089" w:type="pct"/>
          </w:tcPr>
          <w:p w14:paraId="6B2EE882" w14:textId="77777777" w:rsidR="00C67B78" w:rsidRDefault="00C67B78" w:rsidP="00CF1230">
            <w:pPr>
              <w:pStyle w:val="DecimalAligned"/>
            </w:pPr>
          </w:p>
        </w:tc>
        <w:tc>
          <w:tcPr>
            <w:tcW w:w="1091" w:type="pct"/>
          </w:tcPr>
          <w:p w14:paraId="019AC681" w14:textId="77777777" w:rsidR="00C67B78" w:rsidRDefault="00C67B78" w:rsidP="00CF1230">
            <w:pPr>
              <w:pStyle w:val="DecimalAligned"/>
            </w:pPr>
          </w:p>
        </w:tc>
      </w:tr>
      <w:tr w:rsidR="00B6506D" w14:paraId="4894F269" w14:textId="77777777" w:rsidTr="00D5015D">
        <w:trPr>
          <w:cnfStyle w:val="010000000000" w:firstRow="0" w:lastRow="1" w:firstColumn="0" w:lastColumn="0" w:oddVBand="0" w:evenVBand="0" w:oddHBand="0" w:evenHBand="0" w:firstRowFirstColumn="0" w:firstRowLastColumn="0" w:lastRowFirstColumn="0" w:lastRowLastColumn="0"/>
        </w:trPr>
        <w:tc>
          <w:tcPr>
            <w:tcW w:w="1732" w:type="pct"/>
            <w:noWrap/>
          </w:tcPr>
          <w:p w14:paraId="4CBD351A" w14:textId="77777777" w:rsidR="00C67B78" w:rsidRDefault="00C67B78" w:rsidP="00CF1230"/>
        </w:tc>
        <w:tc>
          <w:tcPr>
            <w:tcW w:w="1088" w:type="pct"/>
          </w:tcPr>
          <w:p w14:paraId="11AB053C" w14:textId="42347D20" w:rsidR="00C67B78" w:rsidRDefault="00C67B78" w:rsidP="00CF1230">
            <w:pPr>
              <w:pStyle w:val="DecimalAligned"/>
            </w:pPr>
          </w:p>
        </w:tc>
        <w:tc>
          <w:tcPr>
            <w:tcW w:w="1089" w:type="pct"/>
          </w:tcPr>
          <w:p w14:paraId="68F479A7" w14:textId="77777777" w:rsidR="00C67B78" w:rsidRDefault="00C67B78" w:rsidP="00CF1230">
            <w:pPr>
              <w:pStyle w:val="DecimalAligned"/>
            </w:pPr>
          </w:p>
        </w:tc>
        <w:tc>
          <w:tcPr>
            <w:tcW w:w="1091" w:type="pct"/>
          </w:tcPr>
          <w:p w14:paraId="05EBF7FA" w14:textId="77777777" w:rsidR="00C67B78" w:rsidRDefault="00C67B78" w:rsidP="00CF1230">
            <w:pPr>
              <w:pStyle w:val="DecimalAligned"/>
            </w:pPr>
          </w:p>
        </w:tc>
      </w:tr>
    </w:tbl>
    <w:p w14:paraId="5AB2E483" w14:textId="54C1C5B6" w:rsidR="00E95361" w:rsidRPr="00E95361" w:rsidRDefault="00E95361" w:rsidP="00B406A7">
      <w:pPr>
        <w:shd w:val="clear" w:color="auto" w:fill="FFFFFF"/>
        <w:spacing w:line="240" w:lineRule="auto"/>
        <w:rPr>
          <w:rFonts w:cstheme="minorHAnsi"/>
          <w:color w:val="333333"/>
          <w:shd w:val="clear" w:color="auto" w:fill="FFFFFF"/>
        </w:rPr>
      </w:pPr>
    </w:p>
    <w:sectPr w:rsidR="00E95361" w:rsidRPr="00E953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6A7"/>
    <w:rsid w:val="00013EB5"/>
    <w:rsid w:val="00042B2A"/>
    <w:rsid w:val="00050072"/>
    <w:rsid w:val="000809F1"/>
    <w:rsid w:val="00093C70"/>
    <w:rsid w:val="000C7BCC"/>
    <w:rsid w:val="000D14BC"/>
    <w:rsid w:val="000D15B2"/>
    <w:rsid w:val="000D4C85"/>
    <w:rsid w:val="000D5291"/>
    <w:rsid w:val="000F6C72"/>
    <w:rsid w:val="00155830"/>
    <w:rsid w:val="001D5794"/>
    <w:rsid w:val="001E5A4D"/>
    <w:rsid w:val="00222561"/>
    <w:rsid w:val="0024493A"/>
    <w:rsid w:val="0026695C"/>
    <w:rsid w:val="00266E32"/>
    <w:rsid w:val="00293099"/>
    <w:rsid w:val="002A55C7"/>
    <w:rsid w:val="003169EB"/>
    <w:rsid w:val="00327E35"/>
    <w:rsid w:val="0035318C"/>
    <w:rsid w:val="0036511C"/>
    <w:rsid w:val="00370C97"/>
    <w:rsid w:val="003745BF"/>
    <w:rsid w:val="003B781F"/>
    <w:rsid w:val="003C2D68"/>
    <w:rsid w:val="003F00A1"/>
    <w:rsid w:val="00410BC6"/>
    <w:rsid w:val="00467673"/>
    <w:rsid w:val="00481898"/>
    <w:rsid w:val="004B5AC3"/>
    <w:rsid w:val="004C1E84"/>
    <w:rsid w:val="004E61D4"/>
    <w:rsid w:val="00507B16"/>
    <w:rsid w:val="00510269"/>
    <w:rsid w:val="00570E21"/>
    <w:rsid w:val="00577D7D"/>
    <w:rsid w:val="005E72AE"/>
    <w:rsid w:val="00665480"/>
    <w:rsid w:val="00694B94"/>
    <w:rsid w:val="006B2143"/>
    <w:rsid w:val="006B56E3"/>
    <w:rsid w:val="006C4AEB"/>
    <w:rsid w:val="006E480F"/>
    <w:rsid w:val="006E5BC6"/>
    <w:rsid w:val="006E76D8"/>
    <w:rsid w:val="00700740"/>
    <w:rsid w:val="00733210"/>
    <w:rsid w:val="007335AB"/>
    <w:rsid w:val="0085653E"/>
    <w:rsid w:val="00897E9F"/>
    <w:rsid w:val="008D7BA7"/>
    <w:rsid w:val="008F5C58"/>
    <w:rsid w:val="009078ED"/>
    <w:rsid w:val="00916C93"/>
    <w:rsid w:val="00962E8F"/>
    <w:rsid w:val="00973DAF"/>
    <w:rsid w:val="009A409A"/>
    <w:rsid w:val="009A5043"/>
    <w:rsid w:val="009E3FF1"/>
    <w:rsid w:val="009E6AE6"/>
    <w:rsid w:val="009E6DE0"/>
    <w:rsid w:val="00A60D76"/>
    <w:rsid w:val="00A60E10"/>
    <w:rsid w:val="00AE2407"/>
    <w:rsid w:val="00AF5755"/>
    <w:rsid w:val="00B05325"/>
    <w:rsid w:val="00B26CAE"/>
    <w:rsid w:val="00B406A7"/>
    <w:rsid w:val="00B64665"/>
    <w:rsid w:val="00B6506D"/>
    <w:rsid w:val="00B734EF"/>
    <w:rsid w:val="00B77458"/>
    <w:rsid w:val="00BD7B8A"/>
    <w:rsid w:val="00BF39D6"/>
    <w:rsid w:val="00C12B88"/>
    <w:rsid w:val="00C447DA"/>
    <w:rsid w:val="00C620C0"/>
    <w:rsid w:val="00C67B78"/>
    <w:rsid w:val="00C701CC"/>
    <w:rsid w:val="00C8081C"/>
    <w:rsid w:val="00CD3F6E"/>
    <w:rsid w:val="00D05B74"/>
    <w:rsid w:val="00D20E27"/>
    <w:rsid w:val="00D37455"/>
    <w:rsid w:val="00D5015D"/>
    <w:rsid w:val="00D65C7C"/>
    <w:rsid w:val="00D73E05"/>
    <w:rsid w:val="00DE2221"/>
    <w:rsid w:val="00E0510E"/>
    <w:rsid w:val="00E14AEF"/>
    <w:rsid w:val="00E14BA1"/>
    <w:rsid w:val="00E3272A"/>
    <w:rsid w:val="00E520BD"/>
    <w:rsid w:val="00E54787"/>
    <w:rsid w:val="00E727F7"/>
    <w:rsid w:val="00E84EE9"/>
    <w:rsid w:val="00E95361"/>
    <w:rsid w:val="00EE1733"/>
    <w:rsid w:val="00F36699"/>
    <w:rsid w:val="00F4626A"/>
    <w:rsid w:val="00F612E2"/>
    <w:rsid w:val="00F71A26"/>
    <w:rsid w:val="00F8223B"/>
    <w:rsid w:val="00FA2404"/>
    <w:rsid w:val="00FC18DE"/>
    <w:rsid w:val="00FF16A7"/>
    <w:rsid w:val="00FF7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8F3A7"/>
  <w15:chartTrackingRefBased/>
  <w15:docId w15:val="{5CEADE5B-31A9-4978-AE73-4D8E5EFE0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406A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406A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406A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406A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406A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406A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406A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406A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406A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06A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406A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406A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406A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406A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406A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406A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406A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406A7"/>
    <w:rPr>
      <w:rFonts w:eastAsiaTheme="majorEastAsia" w:cstheme="majorBidi"/>
      <w:color w:val="272727" w:themeColor="text1" w:themeTint="D8"/>
    </w:rPr>
  </w:style>
  <w:style w:type="paragraph" w:styleId="Title">
    <w:name w:val="Title"/>
    <w:basedOn w:val="Normal"/>
    <w:next w:val="Normal"/>
    <w:link w:val="TitleChar"/>
    <w:uiPriority w:val="10"/>
    <w:qFormat/>
    <w:rsid w:val="00B406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06A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06A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406A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406A7"/>
    <w:pPr>
      <w:spacing w:before="160"/>
      <w:jc w:val="center"/>
    </w:pPr>
    <w:rPr>
      <w:i/>
      <w:iCs/>
      <w:color w:val="404040" w:themeColor="text1" w:themeTint="BF"/>
    </w:rPr>
  </w:style>
  <w:style w:type="character" w:customStyle="1" w:styleId="QuoteChar">
    <w:name w:val="Quote Char"/>
    <w:basedOn w:val="DefaultParagraphFont"/>
    <w:link w:val="Quote"/>
    <w:uiPriority w:val="29"/>
    <w:rsid w:val="00B406A7"/>
    <w:rPr>
      <w:i/>
      <w:iCs/>
      <w:color w:val="404040" w:themeColor="text1" w:themeTint="BF"/>
    </w:rPr>
  </w:style>
  <w:style w:type="paragraph" w:styleId="ListParagraph">
    <w:name w:val="List Paragraph"/>
    <w:basedOn w:val="Normal"/>
    <w:uiPriority w:val="34"/>
    <w:qFormat/>
    <w:rsid w:val="00B406A7"/>
    <w:pPr>
      <w:ind w:left="720"/>
      <w:contextualSpacing/>
    </w:pPr>
  </w:style>
  <w:style w:type="character" w:styleId="IntenseEmphasis">
    <w:name w:val="Intense Emphasis"/>
    <w:basedOn w:val="DefaultParagraphFont"/>
    <w:uiPriority w:val="21"/>
    <w:qFormat/>
    <w:rsid w:val="00B406A7"/>
    <w:rPr>
      <w:i/>
      <w:iCs/>
      <w:color w:val="2F5496" w:themeColor="accent1" w:themeShade="BF"/>
    </w:rPr>
  </w:style>
  <w:style w:type="paragraph" w:styleId="IntenseQuote">
    <w:name w:val="Intense Quote"/>
    <w:basedOn w:val="Normal"/>
    <w:next w:val="Normal"/>
    <w:link w:val="IntenseQuoteChar"/>
    <w:uiPriority w:val="30"/>
    <w:qFormat/>
    <w:rsid w:val="00B406A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406A7"/>
    <w:rPr>
      <w:i/>
      <w:iCs/>
      <w:color w:val="2F5496" w:themeColor="accent1" w:themeShade="BF"/>
    </w:rPr>
  </w:style>
  <w:style w:type="character" w:styleId="IntenseReference">
    <w:name w:val="Intense Reference"/>
    <w:basedOn w:val="DefaultParagraphFont"/>
    <w:uiPriority w:val="32"/>
    <w:qFormat/>
    <w:rsid w:val="00B406A7"/>
    <w:rPr>
      <w:b/>
      <w:bCs/>
      <w:smallCaps/>
      <w:color w:val="2F5496" w:themeColor="accent1" w:themeShade="BF"/>
      <w:spacing w:val="5"/>
    </w:rPr>
  </w:style>
  <w:style w:type="paragraph" w:customStyle="1" w:styleId="DecimalAligned">
    <w:name w:val="Decimal Aligned"/>
    <w:basedOn w:val="Normal"/>
    <w:uiPriority w:val="40"/>
    <w:qFormat/>
    <w:rsid w:val="009078ED"/>
    <w:pPr>
      <w:tabs>
        <w:tab w:val="decimal" w:pos="360"/>
      </w:tabs>
      <w:spacing w:after="200" w:line="276" w:lineRule="auto"/>
    </w:pPr>
    <w:rPr>
      <w:rFonts w:eastAsiaTheme="minorEastAsia" w:cs="Times New Roman"/>
      <w:kern w:val="0"/>
      <w14:ligatures w14:val="none"/>
    </w:rPr>
  </w:style>
  <w:style w:type="paragraph" w:styleId="FootnoteText">
    <w:name w:val="footnote text"/>
    <w:basedOn w:val="Normal"/>
    <w:link w:val="FootnoteTextChar"/>
    <w:uiPriority w:val="99"/>
    <w:unhideWhenUsed/>
    <w:rsid w:val="009078ED"/>
    <w:pPr>
      <w:spacing w:after="0" w:line="240" w:lineRule="auto"/>
    </w:pPr>
    <w:rPr>
      <w:rFonts w:eastAsiaTheme="minorEastAsia" w:cs="Times New Roman"/>
      <w:kern w:val="0"/>
      <w:sz w:val="20"/>
      <w:szCs w:val="20"/>
      <w14:ligatures w14:val="none"/>
    </w:rPr>
  </w:style>
  <w:style w:type="character" w:customStyle="1" w:styleId="FootnoteTextChar">
    <w:name w:val="Footnote Text Char"/>
    <w:basedOn w:val="DefaultParagraphFont"/>
    <w:link w:val="FootnoteText"/>
    <w:uiPriority w:val="99"/>
    <w:rsid w:val="009078ED"/>
    <w:rPr>
      <w:rFonts w:eastAsiaTheme="minorEastAsia" w:cs="Times New Roman"/>
      <w:kern w:val="0"/>
      <w:sz w:val="20"/>
      <w:szCs w:val="20"/>
      <w14:ligatures w14:val="none"/>
    </w:rPr>
  </w:style>
  <w:style w:type="character" w:styleId="SubtleEmphasis">
    <w:name w:val="Subtle Emphasis"/>
    <w:basedOn w:val="DefaultParagraphFont"/>
    <w:uiPriority w:val="19"/>
    <w:qFormat/>
    <w:rsid w:val="009078ED"/>
    <w:rPr>
      <w:i/>
      <w:iCs/>
    </w:rPr>
  </w:style>
  <w:style w:type="table" w:styleId="LightShading-Accent1">
    <w:name w:val="Light Shading Accent 1"/>
    <w:basedOn w:val="TableNormal"/>
    <w:uiPriority w:val="60"/>
    <w:rsid w:val="009078ED"/>
    <w:pPr>
      <w:spacing w:after="0" w:line="240" w:lineRule="auto"/>
    </w:pPr>
    <w:rPr>
      <w:rFonts w:eastAsiaTheme="minorEastAsia"/>
      <w:color w:val="2F5496" w:themeColor="accent1" w:themeShade="BF"/>
      <w:kern w:val="0"/>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MediumShading2-Accent5">
    <w:name w:val="Medium Shading 2 Accent 5"/>
    <w:basedOn w:val="TableNormal"/>
    <w:uiPriority w:val="64"/>
    <w:rsid w:val="009E6AE6"/>
    <w:pPr>
      <w:spacing w:after="0" w:line="240" w:lineRule="auto"/>
    </w:pPr>
    <w:rPr>
      <w:rFonts w:eastAsiaTheme="minorEastAsia"/>
      <w:kern w:val="0"/>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020763">
      <w:bodyDiv w:val="1"/>
      <w:marLeft w:val="0"/>
      <w:marRight w:val="0"/>
      <w:marTop w:val="0"/>
      <w:marBottom w:val="0"/>
      <w:divBdr>
        <w:top w:val="none" w:sz="0" w:space="0" w:color="auto"/>
        <w:left w:val="none" w:sz="0" w:space="0" w:color="auto"/>
        <w:bottom w:val="none" w:sz="0" w:space="0" w:color="auto"/>
        <w:right w:val="none" w:sz="0" w:space="0" w:color="auto"/>
      </w:divBdr>
    </w:div>
    <w:div w:id="1123311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2</Pages>
  <Words>384</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Ruthie Pedregon</dc:creator>
  <cp:keywords/>
  <dc:description/>
  <cp:lastModifiedBy>Kim Holindrake</cp:lastModifiedBy>
  <cp:revision>87</cp:revision>
  <cp:lastPrinted>2024-05-22T20:01:00Z</cp:lastPrinted>
  <dcterms:created xsi:type="dcterms:W3CDTF">2024-05-16T21:38:00Z</dcterms:created>
  <dcterms:modified xsi:type="dcterms:W3CDTF">2024-05-28T12:48:00Z</dcterms:modified>
</cp:coreProperties>
</file>